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方正小标宋_GBK"/>
          <w:bCs/>
          <w:kern w:val="0"/>
          <w:sz w:val="52"/>
          <w:szCs w:val="52"/>
        </w:rPr>
      </w:pPr>
      <w:r>
        <w:rPr>
          <w:rFonts w:ascii="Times New Roman" w:hAnsi="Times New Roman" w:eastAsia="方正小标宋_GBK"/>
          <w:bCs/>
          <w:kern w:val="0"/>
          <w:sz w:val="52"/>
          <w:szCs w:val="52"/>
        </w:rPr>
        <w:t>江苏省地方标准</w:t>
      </w:r>
      <w:r>
        <w:rPr>
          <w:rFonts w:ascii="Times New Roman" w:hAnsi="Times New Roman" w:eastAsia="方正小标宋_GBK"/>
          <w:bCs/>
          <w:kern w:val="0"/>
          <w:sz w:val="52"/>
          <w:szCs w:val="52"/>
        </w:rPr>
        <w:br w:type="textWrapping"/>
      </w:r>
      <w:r>
        <w:rPr>
          <w:rFonts w:hint="eastAsia" w:ascii="黑体" w:hAnsi="黑体" w:eastAsia="黑体" w:cs="黑体"/>
          <w:b/>
          <w:bCs w:val="0"/>
          <w:spacing w:val="-34"/>
          <w:kern w:val="0"/>
          <w:sz w:val="52"/>
          <w:szCs w:val="52"/>
        </w:rPr>
        <w:t>《</w:t>
      </w:r>
      <w:r>
        <w:rPr>
          <w:rFonts w:hint="eastAsia" w:ascii="黑体" w:hAnsi="黑体" w:eastAsia="黑体" w:cs="黑体"/>
          <w:b/>
          <w:bCs w:val="0"/>
          <w:spacing w:val="-34"/>
          <w:kern w:val="0"/>
          <w:sz w:val="52"/>
          <w:szCs w:val="52"/>
          <w:lang w:val="en-US" w:eastAsia="zh-CN"/>
        </w:rPr>
        <w:t>小麦</w:t>
      </w:r>
      <w:r>
        <w:rPr>
          <w:rFonts w:hint="eastAsia" w:ascii="黑体" w:hAnsi="黑体" w:eastAsia="黑体" w:cs="黑体"/>
          <w:b/>
          <w:bCs w:val="0"/>
          <w:kern w:val="0"/>
          <w:sz w:val="52"/>
          <w:szCs w:val="52"/>
          <w:lang w:val="en-US" w:eastAsia="zh-CN"/>
        </w:rPr>
        <w:t>种子处理技术规程</w:t>
      </w:r>
      <w:r>
        <w:rPr>
          <w:rFonts w:hint="eastAsia" w:ascii="黑体" w:hAnsi="黑体" w:eastAsia="黑体" w:cs="黑体"/>
          <w:b/>
          <w:bCs w:val="0"/>
          <w:spacing w:val="-34"/>
          <w:kern w:val="0"/>
          <w:sz w:val="52"/>
          <w:szCs w:val="52"/>
        </w:rPr>
        <w:t>》</w:t>
      </w:r>
      <w:r>
        <w:rPr>
          <w:rFonts w:ascii="Times New Roman" w:hAnsi="Times New Roman" w:eastAsia="方正小标宋_GBK"/>
          <w:bCs/>
          <w:kern w:val="0"/>
          <w:sz w:val="52"/>
          <w:szCs w:val="52"/>
        </w:rPr>
        <w:br w:type="textWrapping"/>
      </w:r>
      <w:r>
        <w:rPr>
          <w:rFonts w:ascii="Times New Roman" w:hAnsi="Times New Roman" w:eastAsia="方正小标宋_GBK"/>
          <w:bCs/>
          <w:kern w:val="0"/>
          <w:sz w:val="52"/>
          <w:szCs w:val="52"/>
        </w:rPr>
        <w:t>（</w:t>
      </w:r>
      <w:r>
        <w:rPr>
          <w:rFonts w:hint="eastAsia" w:ascii="Times New Roman" w:hAnsi="Times New Roman" w:eastAsia="方正小标宋_GBK"/>
          <w:bCs/>
          <w:kern w:val="0"/>
          <w:sz w:val="52"/>
          <w:szCs w:val="52"/>
          <w:lang w:val="en-US" w:eastAsia="zh-CN"/>
        </w:rPr>
        <w:t>征求意见</w:t>
      </w:r>
      <w:r>
        <w:rPr>
          <w:rFonts w:ascii="Times New Roman" w:hAnsi="Times New Roman" w:eastAsia="方正小标宋_GBK"/>
          <w:bCs/>
          <w:kern w:val="0"/>
          <w:sz w:val="52"/>
          <w:szCs w:val="52"/>
        </w:rPr>
        <w:t>稿）</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黑体"/>
          <w:bCs/>
          <w:kern w:val="0"/>
          <w:sz w:val="72"/>
          <w:szCs w:val="72"/>
        </w:rPr>
      </w:pP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黑体"/>
          <w:bCs/>
          <w:kern w:val="0"/>
          <w:sz w:val="72"/>
          <w:szCs w:val="72"/>
        </w:rPr>
      </w:pP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黑体"/>
          <w:bCs/>
          <w:kern w:val="0"/>
          <w:sz w:val="72"/>
          <w:szCs w:val="72"/>
        </w:rPr>
      </w:pPr>
      <w:r>
        <w:rPr>
          <w:rFonts w:ascii="Times New Roman" w:hAnsi="Times New Roman" w:eastAsia="黑体"/>
          <w:bCs/>
          <w:kern w:val="0"/>
          <w:sz w:val="72"/>
          <w:szCs w:val="72"/>
        </w:rPr>
        <w:t>编</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黑体"/>
          <w:bCs/>
          <w:kern w:val="0"/>
          <w:sz w:val="72"/>
          <w:szCs w:val="72"/>
        </w:rPr>
      </w:pPr>
      <w:r>
        <w:rPr>
          <w:rFonts w:ascii="Times New Roman" w:hAnsi="Times New Roman" w:eastAsia="黑体"/>
          <w:bCs/>
          <w:kern w:val="0"/>
          <w:sz w:val="72"/>
          <w:szCs w:val="72"/>
        </w:rPr>
        <w:t>制</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黑体"/>
          <w:bCs/>
          <w:kern w:val="0"/>
          <w:sz w:val="72"/>
          <w:szCs w:val="72"/>
        </w:rPr>
      </w:pPr>
      <w:r>
        <w:rPr>
          <w:rFonts w:ascii="Times New Roman" w:hAnsi="Times New Roman" w:eastAsia="黑体"/>
          <w:bCs/>
          <w:kern w:val="0"/>
          <w:sz w:val="72"/>
          <w:szCs w:val="72"/>
        </w:rPr>
        <w:t>说</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黑体"/>
          <w:bCs/>
          <w:kern w:val="0"/>
          <w:sz w:val="72"/>
          <w:szCs w:val="72"/>
        </w:rPr>
      </w:pPr>
      <w:r>
        <w:rPr>
          <w:rFonts w:ascii="Times New Roman" w:hAnsi="Times New Roman" w:eastAsia="黑体"/>
          <w:bCs/>
          <w:kern w:val="0"/>
          <w:sz w:val="72"/>
          <w:szCs w:val="72"/>
        </w:rPr>
        <w:t>明</w:t>
      </w:r>
    </w:p>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ascii="Times New Roman" w:hAnsi="Times New Roman"/>
          <w:bCs/>
          <w:kern w:val="0"/>
          <w:sz w:val="32"/>
          <w:szCs w:val="32"/>
        </w:rPr>
      </w:pP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方正仿宋简体"/>
          <w:bCs/>
          <w:kern w:val="0"/>
          <w:sz w:val="32"/>
          <w:szCs w:val="32"/>
        </w:rPr>
      </w:pPr>
    </w:p>
    <w:p>
      <w:pPr>
        <w:pStyle w:val="2"/>
        <w:keepNext w:val="0"/>
        <w:keepLines w:val="0"/>
        <w:pageBreakBefore w:val="0"/>
        <w:widowControl w:val="0"/>
        <w:kinsoku/>
        <w:wordWrap/>
        <w:overflowPunct/>
        <w:topLinePunct w:val="0"/>
        <w:bidi w:val="0"/>
        <w:snapToGrid/>
        <w:spacing w:line="240" w:lineRule="auto"/>
        <w:textAlignment w:val="auto"/>
        <w:rPr>
          <w:rFonts w:ascii="Times New Roman" w:hAnsi="Times New Roman" w:cs="Times New Roman"/>
          <w:lang w:val="en-US" w:bidi="ar-SA"/>
        </w:rPr>
      </w:pP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方正仿宋_GBK"/>
          <w:b/>
          <w:kern w:val="0"/>
          <w:sz w:val="32"/>
          <w:szCs w:val="32"/>
        </w:rPr>
      </w:pPr>
      <w:r>
        <w:rPr>
          <w:rFonts w:ascii="Times New Roman" w:hAnsi="Times New Roman" w:eastAsia="方正仿宋_GBK"/>
          <w:b/>
          <w:kern w:val="0"/>
          <w:sz w:val="32"/>
          <w:szCs w:val="32"/>
        </w:rPr>
        <w:t>标准起草组</w:t>
      </w:r>
    </w:p>
    <w:p>
      <w:pPr>
        <w:keepNext w:val="0"/>
        <w:keepLines w:val="0"/>
        <w:pageBreakBefore w:val="0"/>
        <w:widowControl w:val="0"/>
        <w:kinsoku/>
        <w:wordWrap/>
        <w:overflowPunct/>
        <w:topLinePunct w:val="0"/>
        <w:bidi w:val="0"/>
        <w:snapToGrid/>
        <w:spacing w:line="240" w:lineRule="auto"/>
        <w:jc w:val="center"/>
        <w:textAlignment w:val="auto"/>
        <w:rPr>
          <w:rFonts w:ascii="Times New Roman" w:hAnsi="Times New Roman" w:eastAsia="方正仿宋_GBK"/>
          <w:b/>
          <w:kern w:val="0"/>
          <w:sz w:val="32"/>
          <w:szCs w:val="32"/>
        </w:rPr>
      </w:pPr>
      <w:r>
        <w:rPr>
          <w:rFonts w:ascii="Times New Roman" w:hAnsi="Times New Roman" w:eastAsia="方正仿宋_GBK"/>
          <w:b/>
          <w:kern w:val="0"/>
          <w:sz w:val="32"/>
          <w:szCs w:val="32"/>
        </w:rPr>
        <w:t>二〇二四年</w:t>
      </w:r>
      <w:r>
        <w:rPr>
          <w:rFonts w:hint="eastAsia" w:ascii="Times New Roman" w:hAnsi="Times New Roman" w:eastAsia="方正仿宋_GBK"/>
          <w:b/>
          <w:kern w:val="0"/>
          <w:sz w:val="32"/>
          <w:szCs w:val="32"/>
          <w:lang w:val="en-US" w:eastAsia="zh-CN"/>
        </w:rPr>
        <w:t>三</w:t>
      </w:r>
      <w:r>
        <w:rPr>
          <w:rFonts w:ascii="Times New Roman" w:hAnsi="Times New Roman" w:eastAsia="方正仿宋_GBK"/>
          <w:b/>
          <w:kern w:val="0"/>
          <w:sz w:val="32"/>
          <w:szCs w:val="32"/>
        </w:rPr>
        <w:t>月</w:t>
      </w:r>
    </w:p>
    <w:p>
      <w:pPr>
        <w:pStyle w:val="2"/>
        <w:keepNext w:val="0"/>
        <w:keepLines w:val="0"/>
        <w:pageBreakBefore w:val="0"/>
        <w:widowControl w:val="0"/>
        <w:kinsoku/>
        <w:wordWrap/>
        <w:overflowPunct/>
        <w:topLinePunct w:val="0"/>
        <w:bidi w:val="0"/>
        <w:snapToGrid/>
        <w:spacing w:line="240" w:lineRule="auto"/>
        <w:textAlignment w:val="auto"/>
        <w:rPr>
          <w:rFonts w:ascii="Times New Roman" w:hAnsi="Times New Roman" w:cs="Times New Roman"/>
          <w:lang w:val="en-US" w:bidi="ar-SA"/>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黑体" w:hAnsi="黑体" w:eastAsia="黑体" w:cs="黑体"/>
          <w:bCs/>
          <w:color w:val="000000"/>
          <w:w w:val="90"/>
          <w:kern w:val="0"/>
          <w:sz w:val="44"/>
          <w:szCs w:val="44"/>
          <w:lang w:val="en-US" w:eastAsia="zh-CN" w:bidi="ar-SA"/>
        </w:rPr>
      </w:pPr>
      <w:r>
        <w:rPr>
          <w:rFonts w:hint="eastAsia" w:ascii="黑体" w:hAnsi="黑体" w:eastAsia="黑体" w:cs="黑体"/>
          <w:bCs/>
          <w:color w:val="000000"/>
          <w:w w:val="90"/>
          <w:kern w:val="0"/>
          <w:sz w:val="44"/>
          <w:szCs w:val="44"/>
          <w:lang w:val="en-US" w:eastAsia="zh-CN" w:bidi="ar-SA"/>
        </w:rPr>
        <w:t>江苏省地方标准</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黑体" w:hAnsi="黑体" w:eastAsia="黑体" w:cs="黑体"/>
          <w:bCs/>
          <w:color w:val="000000"/>
          <w:w w:val="90"/>
          <w:kern w:val="0"/>
          <w:sz w:val="44"/>
          <w:szCs w:val="44"/>
          <w:lang w:val="en-US" w:eastAsia="zh-CN" w:bidi="ar-SA"/>
        </w:rPr>
      </w:pPr>
      <w:r>
        <w:rPr>
          <w:rFonts w:hint="eastAsia" w:ascii="黑体" w:hAnsi="黑体" w:eastAsia="黑体" w:cs="黑体"/>
          <w:bCs/>
          <w:color w:val="000000"/>
          <w:w w:val="90"/>
          <w:kern w:val="0"/>
          <w:sz w:val="44"/>
          <w:szCs w:val="44"/>
          <w:lang w:val="en-US" w:eastAsia="zh-CN" w:bidi="ar-SA"/>
        </w:rPr>
        <w:t>《小麦种子处理技术规程》</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黑体" w:hAnsi="黑体" w:eastAsia="黑体" w:cs="黑体"/>
          <w:bCs/>
          <w:color w:val="000000"/>
          <w:w w:val="90"/>
          <w:kern w:val="0"/>
          <w:sz w:val="44"/>
          <w:szCs w:val="44"/>
          <w:lang w:val="en-US" w:eastAsia="zh-CN" w:bidi="ar-SA"/>
        </w:rPr>
      </w:pPr>
      <w:r>
        <w:rPr>
          <w:rFonts w:hint="eastAsia" w:ascii="黑体" w:hAnsi="黑体" w:eastAsia="黑体" w:cs="黑体"/>
          <w:bCs/>
          <w:color w:val="000000"/>
          <w:w w:val="90"/>
          <w:kern w:val="0"/>
          <w:sz w:val="44"/>
          <w:szCs w:val="44"/>
          <w:lang w:val="en-US" w:eastAsia="zh-CN" w:bidi="ar-SA"/>
        </w:rPr>
        <w:t>（征求意见稿）编制说明</w:t>
      </w:r>
    </w:p>
    <w:p>
      <w:pPr>
        <w:keepNext w:val="0"/>
        <w:keepLines w:val="0"/>
        <w:pageBreakBefore w:val="0"/>
        <w:widowControl w:val="0"/>
        <w:kinsoku/>
        <w:wordWrap/>
        <w:overflowPunct/>
        <w:topLinePunct w:val="0"/>
        <w:bidi w:val="0"/>
        <w:snapToGrid/>
        <w:spacing w:before="156" w:beforeLines="50" w:after="156" w:afterLines="50" w:line="240" w:lineRule="auto"/>
        <w:textAlignment w:val="auto"/>
        <w:outlineLvl w:val="0"/>
        <w:rPr>
          <w:rFonts w:hint="eastAsia" w:ascii="黑体" w:hAnsi="黑体" w:eastAsia="黑体" w:cs="黑体"/>
          <w:sz w:val="32"/>
          <w:szCs w:val="32"/>
        </w:rPr>
      </w:pPr>
      <w:r>
        <w:rPr>
          <w:rFonts w:hint="eastAsia" w:ascii="黑体" w:hAnsi="黑体" w:eastAsia="黑体" w:cs="黑体"/>
          <w:sz w:val="32"/>
          <w:szCs w:val="32"/>
        </w:rPr>
        <w:t>一、目的与意义</w:t>
      </w:r>
    </w:p>
    <w:p>
      <w:pPr>
        <w:keepNext w:val="0"/>
        <w:keepLines w:val="0"/>
        <w:pageBreakBefore w:val="0"/>
        <w:widowControl w:val="0"/>
        <w:kinsoku/>
        <w:wordWrap/>
        <w:overflowPunct/>
        <w:topLinePunct w:val="0"/>
        <w:bidi w:val="0"/>
        <w:snapToGrid/>
        <w:spacing w:line="240" w:lineRule="auto"/>
        <w:ind w:firstLine="640" w:firstLineChars="200"/>
        <w:jc w:val="left"/>
        <w:textAlignment w:val="auto"/>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 w:cs="Times New Roman"/>
          <w:kern w:val="2"/>
          <w:sz w:val="32"/>
          <w:szCs w:val="24"/>
          <w:lang w:val="en-US" w:eastAsia="zh-CN" w:bidi="ar-SA"/>
        </w:rPr>
        <w:t>小麦是我国重要粮食作物之一，江苏省小麦种植面积超过3500万亩。随着气候的变化、农田环境的恶化，农村劳动力的减少及耕作制度的改变，小麦病虫害的发生趋势严重而复杂，成为制约产量和提高品质的重要因素。小麦播种后受多种病虫害侵扰，虫害主要有：小麦蚜虫、小麦红蜘蛛、麦吸浆虫、地下害虫等，小麦病害主要有：赤霉病、小麦纹枯病、白粉病、腥黑穗病、锈病等。近年来，小麦地下害虫与种传、土传病害有逐年加重趋势，尤其是小麦纹枯病、小麦腥黑穗病发生较为严重，对小麦的产量构成了一定的威胁，一旦发生不仅影响小麦产量，而且严重影响小麦品质。</w:t>
      </w:r>
    </w:p>
    <w:p>
      <w:pPr>
        <w:keepNext w:val="0"/>
        <w:keepLines w:val="0"/>
        <w:pageBreakBefore w:val="0"/>
        <w:widowControl w:val="0"/>
        <w:kinsoku/>
        <w:wordWrap/>
        <w:overflowPunct/>
        <w:topLinePunct w:val="0"/>
        <w:bidi w:val="0"/>
        <w:snapToGrid/>
        <w:spacing w:line="240" w:lineRule="auto"/>
        <w:ind w:firstLine="640" w:firstLineChars="200"/>
        <w:jc w:val="left"/>
        <w:textAlignment w:val="auto"/>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 w:cs="Times New Roman"/>
          <w:kern w:val="2"/>
          <w:sz w:val="32"/>
          <w:szCs w:val="24"/>
          <w:lang w:val="en-US" w:eastAsia="zh-CN" w:bidi="ar-SA"/>
        </w:rPr>
        <w:t>为减少小麦病虫害防治次数，结合小麦上病虫害种类和发生特点，生产中通过种子处理如拌种或包衣等方式对病虫害进行防控，并已逐步应用和推广。但在实际生产操作中仍存在如下问题：（1）用药不规范，药剂使用种类和用量不合理；（2）种子处理过程中操作不规范；（3）种子发芽和出苗存在安全性风险；（4）病虫害防治效果不佳或达不到预期效果。针对上述存在的问题，亟需制定相关技术规程，为生产中利用种子处理防控小麦病虫害提供技术支撑，使种植户在进行小麦种子处理时有据可依，同时也将产生显著的经济效益、社会效益和生态效益。</w:t>
      </w:r>
    </w:p>
    <w:p>
      <w:pPr>
        <w:keepNext w:val="0"/>
        <w:keepLines w:val="0"/>
        <w:pageBreakBefore w:val="0"/>
        <w:widowControl w:val="0"/>
        <w:numPr>
          <w:ilvl w:val="0"/>
          <w:numId w:val="1"/>
        </w:numPr>
        <w:kinsoku/>
        <w:wordWrap/>
        <w:overflowPunct/>
        <w:topLinePunct w:val="0"/>
        <w:bidi w:val="0"/>
        <w:snapToGrid/>
        <w:spacing w:line="240" w:lineRule="auto"/>
        <w:ind w:firstLine="643" w:firstLineChars="200"/>
        <w:jc w:val="left"/>
        <w:textAlignment w:val="auto"/>
        <w:rPr>
          <w:rFonts w:hint="eastAsia"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规范化操作，提高种子处理安全性，减少违规操作造成的风险</w:t>
      </w:r>
    </w:p>
    <w:p>
      <w:pPr>
        <w:keepNext w:val="0"/>
        <w:keepLines w:val="0"/>
        <w:pageBreakBefore w:val="0"/>
        <w:widowControl w:val="0"/>
        <w:kinsoku/>
        <w:wordWrap/>
        <w:overflowPunct/>
        <w:topLinePunct w:val="0"/>
        <w:bidi w:val="0"/>
        <w:snapToGrid/>
        <w:spacing w:line="240" w:lineRule="auto"/>
        <w:ind w:firstLine="640" w:firstLineChars="200"/>
        <w:jc w:val="left"/>
        <w:textAlignment w:val="auto"/>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 w:cs="Times New Roman"/>
          <w:kern w:val="2"/>
          <w:sz w:val="32"/>
          <w:szCs w:val="24"/>
          <w:lang w:val="en-US" w:eastAsia="zh-CN" w:bidi="ar-SA"/>
        </w:rPr>
        <w:t>目前很多小麦种植户在种子处理时药剂选择上存在着盲目性或盲从性，种子处理药剂种类选择经常出现重叠和药量加重现象。同时种子处理过程中药剂错误选择及用量过重均可能导致小麦种子不发芽或发芽率降低。因此制定小麦种子处理相关的技术规程，明确种子处理中使用的药剂种类和用量，规范种子处理操作，对提升小麦种子发芽安全性具有重要的意义。</w:t>
      </w:r>
    </w:p>
    <w:p>
      <w:pPr>
        <w:keepNext w:val="0"/>
        <w:keepLines w:val="0"/>
        <w:pageBreakBefore w:val="0"/>
        <w:widowControl w:val="0"/>
        <w:numPr>
          <w:ilvl w:val="0"/>
          <w:numId w:val="1"/>
        </w:numPr>
        <w:kinsoku/>
        <w:wordWrap/>
        <w:overflowPunct/>
        <w:topLinePunct w:val="0"/>
        <w:bidi w:val="0"/>
        <w:snapToGrid/>
        <w:spacing w:line="240" w:lineRule="auto"/>
        <w:ind w:firstLine="643" w:firstLineChars="200"/>
        <w:jc w:val="left"/>
        <w:textAlignment w:val="auto"/>
        <w:rPr>
          <w:rFonts w:hint="eastAsia"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规范化操作，缓解小麦病虫害防治过程中劳动力短缺问题</w:t>
      </w:r>
    </w:p>
    <w:p>
      <w:pPr>
        <w:keepNext w:val="0"/>
        <w:keepLines w:val="0"/>
        <w:pageBreakBefore w:val="0"/>
        <w:widowControl w:val="0"/>
        <w:kinsoku/>
        <w:wordWrap/>
        <w:overflowPunct/>
        <w:topLinePunct w:val="0"/>
        <w:bidi w:val="0"/>
        <w:snapToGrid/>
        <w:spacing w:line="240" w:lineRule="auto"/>
        <w:ind w:firstLine="640" w:firstLineChars="200"/>
        <w:jc w:val="left"/>
        <w:textAlignment w:val="auto"/>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 w:cs="Times New Roman"/>
          <w:kern w:val="2"/>
          <w:sz w:val="32"/>
          <w:szCs w:val="24"/>
          <w:lang w:val="en-US" w:eastAsia="zh-CN" w:bidi="ar-SA"/>
        </w:rPr>
        <w:t>随着我国经济社会不断发展，新型工业化和城镇化的推进，农村劳动力转移，土地流转加速，规模化、机械化、轻简化种植方式越来越普遍，家庭农场、种植大户等农业种植模式所占比例逐年升高。通过种子处理的方式将极大减少小麦病虫害防治次数，缓解劳动力不足的问题，节省防治成本及用工成本。</w:t>
      </w:r>
    </w:p>
    <w:p>
      <w:pPr>
        <w:keepNext w:val="0"/>
        <w:keepLines w:val="0"/>
        <w:pageBreakBefore w:val="0"/>
        <w:widowControl w:val="0"/>
        <w:numPr>
          <w:ilvl w:val="0"/>
          <w:numId w:val="1"/>
        </w:numPr>
        <w:kinsoku/>
        <w:wordWrap/>
        <w:overflowPunct/>
        <w:topLinePunct w:val="0"/>
        <w:bidi w:val="0"/>
        <w:snapToGrid/>
        <w:spacing w:line="240" w:lineRule="auto"/>
        <w:ind w:firstLine="643" w:firstLineChars="200"/>
        <w:jc w:val="left"/>
        <w:textAlignment w:val="auto"/>
        <w:rPr>
          <w:rFonts w:hint="eastAsia"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隐蔽式携药实现对靶标病虫害的精准防控，避免对田间天敌的影响</w:t>
      </w:r>
    </w:p>
    <w:p>
      <w:pPr>
        <w:keepNext w:val="0"/>
        <w:keepLines w:val="0"/>
        <w:pageBreakBefore w:val="0"/>
        <w:widowControl w:val="0"/>
        <w:kinsoku/>
        <w:wordWrap/>
        <w:overflowPunct/>
        <w:topLinePunct w:val="0"/>
        <w:bidi w:val="0"/>
        <w:snapToGrid/>
        <w:spacing w:line="240" w:lineRule="auto"/>
        <w:ind w:firstLine="640" w:firstLineChars="200"/>
        <w:jc w:val="left"/>
        <w:textAlignment w:val="auto"/>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 w:cs="Times New Roman"/>
          <w:kern w:val="2"/>
          <w:sz w:val="32"/>
          <w:szCs w:val="24"/>
          <w:lang w:val="en-US" w:eastAsia="zh-CN" w:bidi="ar-SA"/>
        </w:rPr>
        <w:t>利用种子处理方式使得种子载药，将原有的开放式给药变为隐蔽式携药，对靶标病虫进行精准式防控，将极大减少化学药剂喷施过程中对田间天敌接触性杀伤，同时又有利于天敌种群数量的富集，进一步加强天敌对害虫的控制能力。</w:t>
      </w:r>
    </w:p>
    <w:p>
      <w:pPr>
        <w:keepNext w:val="0"/>
        <w:keepLines w:val="0"/>
        <w:pageBreakBefore w:val="0"/>
        <w:widowControl w:val="0"/>
        <w:numPr>
          <w:ilvl w:val="0"/>
          <w:numId w:val="1"/>
        </w:numPr>
        <w:kinsoku/>
        <w:wordWrap/>
        <w:overflowPunct/>
        <w:topLinePunct w:val="0"/>
        <w:bidi w:val="0"/>
        <w:snapToGrid/>
        <w:spacing w:line="240" w:lineRule="auto"/>
        <w:ind w:firstLine="643" w:firstLineChars="200"/>
        <w:jc w:val="left"/>
        <w:textAlignment w:val="auto"/>
        <w:rPr>
          <w:rFonts w:hint="eastAsia"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促进小麦安全生产和农业经济发展，维护农田生态系统，突出生态效益</w:t>
      </w:r>
    </w:p>
    <w:p>
      <w:pPr>
        <w:keepNext w:val="0"/>
        <w:keepLines w:val="0"/>
        <w:pageBreakBefore w:val="0"/>
        <w:widowControl w:val="0"/>
        <w:kinsoku/>
        <w:wordWrap/>
        <w:overflowPunct/>
        <w:topLinePunct w:val="0"/>
        <w:bidi w:val="0"/>
        <w:snapToGrid/>
        <w:spacing w:line="240" w:lineRule="auto"/>
        <w:ind w:firstLine="640" w:firstLineChars="200"/>
        <w:jc w:val="left"/>
        <w:textAlignment w:val="auto"/>
        <w:rPr>
          <w:rFonts w:hint="eastAsia" w:ascii="Times New Roman" w:hAnsi="Times New Roman" w:eastAsia="仿宋" w:cs="Times New Roman"/>
          <w:kern w:val="2"/>
          <w:sz w:val="32"/>
          <w:szCs w:val="24"/>
          <w:lang w:val="en-US" w:eastAsia="zh-CN" w:bidi="ar-SA"/>
        </w:rPr>
      </w:pPr>
      <w:r>
        <w:rPr>
          <w:rFonts w:hint="eastAsia" w:ascii="Times New Roman" w:hAnsi="Times New Roman" w:eastAsia="仿宋" w:cs="Times New Roman"/>
          <w:kern w:val="2"/>
          <w:sz w:val="32"/>
          <w:szCs w:val="24"/>
          <w:lang w:val="en-US" w:eastAsia="zh-CN" w:bidi="ar-SA"/>
        </w:rPr>
        <w:t>利用种子处理防治小麦病虫害，一方面减少农药使用量与使用次数，节省大量劳动力，节省小麦生产成本，减少化学品的投入，维护农田生态系统平衡，降低农药残留量；另一方面对麦田生态系统中有益生物的恢复和整个生态系统的稳定都有很重要的作用，减少了农田及整个生态环境的污染，可产生显著的生态效益。</w:t>
      </w:r>
    </w:p>
    <w:p>
      <w:pPr>
        <w:keepNext w:val="0"/>
        <w:keepLines w:val="0"/>
        <w:pageBreakBefore w:val="0"/>
        <w:widowControl w:val="0"/>
        <w:kinsoku/>
        <w:wordWrap/>
        <w:overflowPunct/>
        <w:topLinePunct w:val="0"/>
        <w:bidi w:val="0"/>
        <w:snapToGrid/>
        <w:spacing w:before="156" w:beforeLines="50" w:after="156" w:afterLines="50" w:line="240" w:lineRule="auto"/>
        <w:textAlignment w:val="auto"/>
        <w:outlineLvl w:val="0"/>
        <w:rPr>
          <w:rFonts w:hint="eastAsia" w:ascii="黑体" w:hAnsi="黑体" w:eastAsia="黑体" w:cs="黑体"/>
          <w:sz w:val="32"/>
          <w:szCs w:val="32"/>
        </w:rPr>
      </w:pPr>
      <w:r>
        <w:rPr>
          <w:rFonts w:hint="eastAsia" w:ascii="黑体" w:hAnsi="黑体" w:eastAsia="黑体" w:cs="黑体"/>
          <w:sz w:val="32"/>
          <w:szCs w:val="32"/>
        </w:rPr>
        <w:t>二、任务来源</w:t>
      </w:r>
    </w:p>
    <w:p>
      <w:pPr>
        <w:pStyle w:val="2"/>
        <w:ind w:left="0" w:firstLine="640" w:firstLineChars="200"/>
        <w:rPr>
          <w:rFonts w:ascii="Times New Roman" w:hAnsi="Times New Roman" w:eastAsia="仿宋" w:cs="Times New Roman"/>
          <w:b w:val="0"/>
          <w:bCs w:val="0"/>
          <w:lang w:val="en-US" w:bidi="ar-SA"/>
        </w:rPr>
      </w:pPr>
      <w:r>
        <w:rPr>
          <w:rFonts w:ascii="Times New Roman" w:hAnsi="Times New Roman" w:eastAsia="仿宋" w:cs="Times New Roman"/>
          <w:b w:val="0"/>
          <w:bCs w:val="0"/>
          <w:lang w:val="en-US" w:bidi="ar-SA"/>
        </w:rPr>
        <w:t>本标准由2023年8月江苏省市场监督管理局发布的《关于下达2023年度江苏省地方标准项目计划的通知》（苏市监标〔2023〕173号）批准立项，项目序号</w:t>
      </w:r>
      <w:r>
        <w:rPr>
          <w:rFonts w:hint="eastAsia" w:ascii="Times New Roman" w:hAnsi="Times New Roman" w:eastAsia="仿宋" w:cs="Times New Roman"/>
          <w:b w:val="0"/>
          <w:bCs w:val="0"/>
          <w:lang w:val="en-US" w:eastAsia="zh-CN" w:bidi="ar-SA"/>
        </w:rPr>
        <w:t>114</w:t>
      </w:r>
      <w:r>
        <w:rPr>
          <w:rFonts w:ascii="Times New Roman" w:hAnsi="Times New Roman" w:eastAsia="仿宋" w:cs="Times New Roman"/>
          <w:b w:val="0"/>
          <w:bCs w:val="0"/>
          <w:lang w:val="en-US" w:bidi="ar-SA"/>
        </w:rPr>
        <w:t>，立项名称为《</w:t>
      </w:r>
      <w:r>
        <w:rPr>
          <w:rFonts w:hint="eastAsia" w:ascii="Times New Roman" w:hAnsi="Times New Roman" w:eastAsia="仿宋" w:cs="Times New Roman"/>
          <w:b w:val="0"/>
          <w:bCs w:val="0"/>
          <w:lang w:val="en-US" w:eastAsia="zh-CN" w:bidi="ar-SA"/>
        </w:rPr>
        <w:t>小麦种子处理技术规程</w:t>
      </w:r>
      <w:r>
        <w:rPr>
          <w:rFonts w:ascii="Times New Roman" w:hAnsi="Times New Roman" w:eastAsia="仿宋" w:cs="Times New Roman"/>
          <w:b w:val="0"/>
          <w:bCs w:val="0"/>
          <w:lang w:val="en-US" w:bidi="ar-SA"/>
        </w:rPr>
        <w:t>》，承担单位为</w:t>
      </w:r>
      <w:r>
        <w:rPr>
          <w:rFonts w:hint="eastAsia" w:ascii="Times New Roman" w:hAnsi="Times New Roman" w:eastAsia="仿宋" w:cs="Times New Roman"/>
          <w:b w:val="0"/>
          <w:bCs w:val="0"/>
          <w:lang w:val="en-US" w:bidi="ar-SA"/>
        </w:rPr>
        <w:t>江苏丘陵地区镇江农业科学研究所、江苏省植物保护植物检疫站</w:t>
      </w:r>
      <w:r>
        <w:rPr>
          <w:rFonts w:ascii="Times New Roman" w:hAnsi="Times New Roman" w:eastAsia="仿宋" w:cs="Times New Roman"/>
          <w:b w:val="0"/>
          <w:bCs w:val="0"/>
          <w:lang w:val="en-US" w:bidi="ar-SA"/>
        </w:rPr>
        <w:t>。</w:t>
      </w:r>
    </w:p>
    <w:p>
      <w:pPr>
        <w:keepNext w:val="0"/>
        <w:keepLines w:val="0"/>
        <w:pageBreakBefore w:val="0"/>
        <w:widowControl w:val="0"/>
        <w:kinsoku/>
        <w:wordWrap/>
        <w:overflowPunct/>
        <w:topLinePunct w:val="0"/>
        <w:bidi w:val="0"/>
        <w:snapToGrid/>
        <w:spacing w:before="156" w:beforeLines="50" w:after="156" w:afterLines="50" w:line="240" w:lineRule="auto"/>
        <w:textAlignment w:val="auto"/>
        <w:outlineLvl w:val="0"/>
        <w:rPr>
          <w:rFonts w:hint="eastAsia" w:ascii="黑体" w:hAnsi="黑体" w:eastAsia="黑体" w:cs="黑体"/>
          <w:sz w:val="32"/>
          <w:szCs w:val="32"/>
        </w:rPr>
      </w:pPr>
      <w:r>
        <w:rPr>
          <w:rFonts w:hint="eastAsia" w:ascii="黑体" w:hAnsi="黑体" w:eastAsia="黑体" w:cs="黑体"/>
          <w:sz w:val="32"/>
          <w:szCs w:val="32"/>
        </w:rPr>
        <w:t>三、编制过程</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Times New Roman" w:hAnsi="Times New Roman" w:eastAsia="仿宋" w:cs="Times New Roman"/>
          <w:b w:val="0"/>
          <w:bCs w:val="0"/>
          <w:kern w:val="2"/>
          <w:sz w:val="32"/>
          <w:szCs w:val="32"/>
          <w:lang w:val="en-US" w:eastAsia="zh-CN" w:bidi="ar-SA"/>
        </w:rPr>
      </w:pPr>
      <w:r>
        <w:rPr>
          <w:rFonts w:ascii="Times New Roman" w:hAnsi="Times New Roman" w:eastAsia="仿宋" w:cs="Times New Roman"/>
          <w:b w:val="0"/>
          <w:bCs w:val="0"/>
          <w:kern w:val="2"/>
          <w:sz w:val="32"/>
          <w:szCs w:val="32"/>
          <w:lang w:val="en-US" w:eastAsia="zh-CN" w:bidi="ar-SA"/>
        </w:rPr>
        <w:t>202</w:t>
      </w:r>
      <w:r>
        <w:rPr>
          <w:rFonts w:hint="eastAsia" w:ascii="Times New Roman" w:hAnsi="Times New Roman" w:eastAsia="仿宋" w:cs="Times New Roman"/>
          <w:b w:val="0"/>
          <w:bCs w:val="0"/>
          <w:kern w:val="2"/>
          <w:sz w:val="32"/>
          <w:szCs w:val="32"/>
          <w:lang w:val="en-US" w:eastAsia="zh-CN" w:bidi="ar-SA"/>
        </w:rPr>
        <w:t>3</w:t>
      </w:r>
      <w:r>
        <w:rPr>
          <w:rFonts w:ascii="Times New Roman" w:hAnsi="Times New Roman" w:eastAsia="仿宋" w:cs="Times New Roman"/>
          <w:b w:val="0"/>
          <w:bCs w:val="0"/>
          <w:kern w:val="2"/>
          <w:sz w:val="32"/>
          <w:szCs w:val="32"/>
          <w:lang w:val="en-US" w:eastAsia="zh-CN" w:bidi="ar-SA"/>
        </w:rPr>
        <w:t>年4月，江苏丘陵地区镇江农业科学研究所</w:t>
      </w:r>
      <w:r>
        <w:rPr>
          <w:rFonts w:hint="eastAsia" w:ascii="Times New Roman" w:hAnsi="Times New Roman" w:eastAsia="仿宋" w:cs="Times New Roman"/>
          <w:b w:val="0"/>
          <w:bCs w:val="0"/>
          <w:kern w:val="2"/>
          <w:sz w:val="32"/>
          <w:szCs w:val="32"/>
          <w:lang w:val="en-US" w:eastAsia="zh-CN" w:bidi="ar-SA"/>
        </w:rPr>
        <w:t>联合江苏省植物保护植物检疫站</w:t>
      </w:r>
      <w:r>
        <w:rPr>
          <w:rFonts w:ascii="Times New Roman" w:hAnsi="Times New Roman" w:eastAsia="仿宋" w:cs="Times New Roman"/>
          <w:b w:val="0"/>
          <w:bCs w:val="0"/>
          <w:kern w:val="2"/>
          <w:sz w:val="32"/>
          <w:szCs w:val="32"/>
          <w:lang w:val="en-US" w:eastAsia="zh-CN" w:bidi="ar-SA"/>
        </w:rPr>
        <w:t>根据生产需求，</w:t>
      </w:r>
      <w:r>
        <w:rPr>
          <w:rFonts w:hint="eastAsia" w:ascii="Times New Roman" w:hAnsi="Times New Roman" w:eastAsia="仿宋" w:cs="Times New Roman"/>
          <w:b w:val="0"/>
          <w:bCs w:val="0"/>
          <w:kern w:val="2"/>
          <w:sz w:val="32"/>
          <w:szCs w:val="32"/>
          <w:lang w:val="en-US" w:eastAsia="zh-CN" w:bidi="ar-SA"/>
        </w:rPr>
        <w:t>结合自身课题研究，通过实地调研、走访种植户及国内外文献查找，确定了标准申报名称和指标内容，形成了标准申报草案初稿，向江苏省市场监督管理局提出研制本标准的立项申请</w:t>
      </w:r>
      <w:r>
        <w:rPr>
          <w:rFonts w:ascii="Times New Roman" w:hAnsi="Times New Roman" w:eastAsia="仿宋" w:cs="Times New Roman"/>
          <w:b w:val="0"/>
          <w:bCs w:val="0"/>
          <w:kern w:val="2"/>
          <w:sz w:val="32"/>
          <w:szCs w:val="32"/>
          <w:lang w:val="en-US" w:eastAsia="zh-CN" w:bidi="ar-SA"/>
        </w:rPr>
        <w:t>。</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2023年8月，本标准通过江苏省市场监督管理局立项审查，予以正式立项。</w:t>
      </w:r>
    </w:p>
    <w:p>
      <w:pPr>
        <w:keepNext w:val="0"/>
        <w:keepLines w:val="0"/>
        <w:pageBreakBefore w:val="0"/>
        <w:widowControl w:val="0"/>
        <w:kinsoku/>
        <w:wordWrap/>
        <w:overflowPunct/>
        <w:topLinePunct w:val="0"/>
        <w:bidi w:val="0"/>
        <w:snapToGrid/>
        <w:spacing w:line="240" w:lineRule="auto"/>
        <w:ind w:firstLine="640" w:firstLineChars="200"/>
        <w:textAlignment w:val="auto"/>
        <w:rPr>
          <w:rFonts w:ascii="Times New Roman" w:hAnsi="Times New Roman" w:eastAsia="仿宋" w:cs="Times New Roman"/>
          <w:b w:val="0"/>
          <w:bCs w:val="0"/>
          <w:kern w:val="2"/>
          <w:sz w:val="32"/>
          <w:szCs w:val="32"/>
          <w:lang w:val="en-US" w:eastAsia="zh-CN" w:bidi="ar-SA"/>
        </w:rPr>
      </w:pPr>
      <w:r>
        <w:rPr>
          <w:rFonts w:ascii="Times New Roman" w:hAnsi="Times New Roman" w:eastAsia="仿宋" w:cs="Times New Roman"/>
          <w:b w:val="0"/>
          <w:bCs w:val="0"/>
          <w:kern w:val="2"/>
          <w:sz w:val="32"/>
          <w:szCs w:val="32"/>
          <w:lang w:val="en-US" w:eastAsia="zh-CN" w:bidi="ar-SA"/>
        </w:rPr>
        <w:t>自20</w:t>
      </w:r>
      <w:r>
        <w:rPr>
          <w:rFonts w:hint="eastAsia" w:ascii="Times New Roman" w:hAnsi="Times New Roman" w:eastAsia="仿宋" w:cs="Times New Roman"/>
          <w:b w:val="0"/>
          <w:bCs w:val="0"/>
          <w:kern w:val="2"/>
          <w:sz w:val="32"/>
          <w:szCs w:val="32"/>
          <w:lang w:val="en-US" w:eastAsia="zh-CN" w:bidi="ar-SA"/>
        </w:rPr>
        <w:t>23</w:t>
      </w:r>
      <w:r>
        <w:rPr>
          <w:rFonts w:ascii="Times New Roman" w:hAnsi="Times New Roman" w:eastAsia="仿宋" w:cs="Times New Roman"/>
          <w:b w:val="0"/>
          <w:bCs w:val="0"/>
          <w:kern w:val="2"/>
          <w:sz w:val="32"/>
          <w:szCs w:val="32"/>
          <w:lang w:val="en-US" w:eastAsia="zh-CN" w:bidi="ar-SA"/>
        </w:rPr>
        <w:t>年8月该标准项目立项以来，江苏丘陵地区镇江农业科学研究所成立技术规程编制小组，制定编写方案，通过查阅相关标准并对历年试验数据进行总结。202</w:t>
      </w:r>
      <w:r>
        <w:rPr>
          <w:rFonts w:hint="eastAsia" w:ascii="Times New Roman" w:hAnsi="Times New Roman" w:eastAsia="仿宋" w:cs="Times New Roman"/>
          <w:b w:val="0"/>
          <w:bCs w:val="0"/>
          <w:kern w:val="2"/>
          <w:sz w:val="32"/>
          <w:szCs w:val="32"/>
          <w:lang w:val="en-US" w:eastAsia="zh-CN" w:bidi="ar-SA"/>
        </w:rPr>
        <w:t>4</w:t>
      </w:r>
      <w:r>
        <w:rPr>
          <w:rFonts w:ascii="Times New Roman" w:hAnsi="Times New Roman" w:eastAsia="仿宋" w:cs="Times New Roman"/>
          <w:b w:val="0"/>
          <w:bCs w:val="0"/>
          <w:kern w:val="2"/>
          <w:sz w:val="32"/>
          <w:szCs w:val="32"/>
          <w:lang w:val="en-US" w:eastAsia="zh-CN" w:bidi="ar-SA"/>
        </w:rPr>
        <w:t>年</w:t>
      </w:r>
      <w:r>
        <w:rPr>
          <w:rFonts w:hint="eastAsia" w:ascii="Times New Roman" w:hAnsi="Times New Roman" w:eastAsia="仿宋" w:cs="Times New Roman"/>
          <w:b w:val="0"/>
          <w:bCs w:val="0"/>
          <w:kern w:val="2"/>
          <w:sz w:val="32"/>
          <w:szCs w:val="32"/>
          <w:lang w:val="en-US" w:eastAsia="zh-CN" w:bidi="ar-SA"/>
        </w:rPr>
        <w:t>4</w:t>
      </w:r>
      <w:r>
        <w:rPr>
          <w:rFonts w:ascii="Times New Roman" w:hAnsi="Times New Roman" w:eastAsia="仿宋" w:cs="Times New Roman"/>
          <w:b w:val="0"/>
          <w:bCs w:val="0"/>
          <w:kern w:val="2"/>
          <w:sz w:val="32"/>
          <w:szCs w:val="32"/>
          <w:lang w:val="en-US" w:eastAsia="zh-CN" w:bidi="ar-SA"/>
        </w:rPr>
        <w:t>月，组织</w:t>
      </w:r>
      <w:r>
        <w:rPr>
          <w:rFonts w:hint="eastAsia" w:ascii="Times New Roman" w:hAnsi="Times New Roman" w:eastAsia="仿宋" w:cs="Times New Roman"/>
          <w:b w:val="0"/>
          <w:bCs w:val="0"/>
          <w:kern w:val="2"/>
          <w:sz w:val="32"/>
          <w:szCs w:val="32"/>
          <w:lang w:val="en-US" w:eastAsia="zh-CN" w:bidi="ar-SA"/>
        </w:rPr>
        <w:t>江苏省推广总站、</w:t>
      </w:r>
      <w:r>
        <w:rPr>
          <w:rFonts w:ascii="Times New Roman" w:hAnsi="Times New Roman" w:eastAsia="仿宋" w:cs="Times New Roman"/>
          <w:b w:val="0"/>
          <w:bCs w:val="0"/>
          <w:kern w:val="2"/>
          <w:sz w:val="32"/>
          <w:szCs w:val="32"/>
          <w:lang w:val="en-US" w:eastAsia="zh-CN" w:bidi="ar-SA"/>
        </w:rPr>
        <w:t>江苏省植保植检站、江苏省农业科学院、</w:t>
      </w:r>
      <w:r>
        <w:rPr>
          <w:rFonts w:hint="eastAsia" w:ascii="Times New Roman" w:hAnsi="Times New Roman" w:eastAsia="仿宋" w:cs="Times New Roman"/>
          <w:b w:val="0"/>
          <w:bCs w:val="0"/>
          <w:kern w:val="2"/>
          <w:sz w:val="32"/>
          <w:szCs w:val="32"/>
          <w:lang w:val="en-US" w:eastAsia="zh-CN" w:bidi="ar-SA"/>
        </w:rPr>
        <w:t>镇江市农业农村局</w:t>
      </w:r>
      <w:r>
        <w:rPr>
          <w:rFonts w:ascii="Times New Roman" w:hAnsi="Times New Roman" w:eastAsia="仿宋" w:cs="Times New Roman"/>
          <w:b w:val="0"/>
          <w:bCs w:val="0"/>
          <w:kern w:val="2"/>
          <w:sz w:val="32"/>
          <w:szCs w:val="32"/>
          <w:lang w:val="en-US" w:eastAsia="zh-CN" w:bidi="ar-SA"/>
        </w:rPr>
        <w:t>等</w:t>
      </w:r>
      <w:r>
        <w:rPr>
          <w:rFonts w:hint="eastAsia" w:ascii="Times New Roman" w:hAnsi="Times New Roman" w:eastAsia="仿宋" w:cs="Times New Roman"/>
          <w:b w:val="0"/>
          <w:bCs w:val="0"/>
          <w:kern w:val="2"/>
          <w:sz w:val="32"/>
          <w:szCs w:val="32"/>
          <w:lang w:val="en-US" w:eastAsia="zh-CN" w:bidi="ar-SA"/>
        </w:rPr>
        <w:t>专家进行意见征求，各专家从专业角度提出问题38条，并附修改建议，本标准制定团队对提出的意见逐一进行审核及修改。</w:t>
      </w:r>
      <w:r>
        <w:rPr>
          <w:rFonts w:ascii="Times New Roman" w:hAnsi="Times New Roman" w:eastAsia="仿宋" w:cs="Times New Roman"/>
          <w:b w:val="0"/>
          <w:bCs w:val="0"/>
          <w:kern w:val="2"/>
          <w:sz w:val="32"/>
          <w:szCs w:val="32"/>
          <w:lang w:val="en-US" w:eastAsia="zh-CN" w:bidi="ar-SA"/>
        </w:rPr>
        <w:t>从各</w:t>
      </w:r>
      <w:r>
        <w:rPr>
          <w:rFonts w:hint="eastAsia" w:ascii="Times New Roman" w:hAnsi="Times New Roman" w:eastAsia="仿宋" w:cs="Times New Roman"/>
          <w:b w:val="0"/>
          <w:bCs w:val="0"/>
          <w:kern w:val="2"/>
          <w:sz w:val="32"/>
          <w:szCs w:val="32"/>
          <w:lang w:val="en-US" w:eastAsia="zh-CN" w:bidi="ar-SA"/>
        </w:rPr>
        <w:t>专家</w:t>
      </w:r>
      <w:r>
        <w:rPr>
          <w:rFonts w:ascii="Times New Roman" w:hAnsi="Times New Roman" w:eastAsia="仿宋" w:cs="Times New Roman"/>
          <w:b w:val="0"/>
          <w:bCs w:val="0"/>
          <w:kern w:val="2"/>
          <w:sz w:val="32"/>
          <w:szCs w:val="32"/>
          <w:lang w:val="en-US" w:eastAsia="zh-CN" w:bidi="ar-SA"/>
        </w:rPr>
        <w:t>专业角度和标准化制定经验对前期草案进行意见征求，经过数次修改形成了标准送审稿。</w:t>
      </w:r>
    </w:p>
    <w:p>
      <w:pPr>
        <w:keepNext w:val="0"/>
        <w:keepLines w:val="0"/>
        <w:pageBreakBefore w:val="0"/>
        <w:widowControl w:val="0"/>
        <w:kinsoku/>
        <w:wordWrap/>
        <w:overflowPunct/>
        <w:topLinePunct w:val="0"/>
        <w:bidi w:val="0"/>
        <w:snapToGrid/>
        <w:spacing w:line="240" w:lineRule="auto"/>
        <w:textAlignment w:val="auto"/>
        <w:rPr>
          <w:rFonts w:hint="eastAsia" w:ascii="Times New Roman" w:hAnsi="Times New Roman" w:eastAsia="黑体" w:cs="Times New Roman"/>
          <w:b w:val="0"/>
          <w:bCs w:val="0"/>
          <w:kern w:val="2"/>
          <w:sz w:val="32"/>
          <w:szCs w:val="32"/>
          <w:lang w:val="en-US" w:eastAsia="zh-CN" w:bidi="zh-CN"/>
        </w:rPr>
      </w:pPr>
      <w:r>
        <w:rPr>
          <w:rFonts w:hint="eastAsia" w:ascii="Times New Roman" w:hAnsi="Times New Roman" w:eastAsia="黑体" w:cs="Times New Roman"/>
          <w:b w:val="0"/>
          <w:bCs w:val="0"/>
          <w:kern w:val="2"/>
          <w:sz w:val="32"/>
          <w:szCs w:val="32"/>
          <w:lang w:val="en-US" w:eastAsia="zh-CN" w:bidi="zh-CN"/>
        </w:rPr>
        <w:t>四、主要内容以及技术指标确定的依据</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本标准以《种子处理防治小麦病虫害技术规程DB 3211/T 1038-2022》为主要基础，以GB/T 1.1-2020《标准化工作导则 第1部分：标准化文件的结构和起草规则》相关规定和要求为主要编制依据，并根据江苏省不同麦区病虫害发生情况推荐使用药剂用量。</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本标准主要内容有：范围、规范性引用文件、术语和定义、种子要求、种子处理要点、注意事项、档案管理。各章节主要内容及技术指标确定依据如下：</w:t>
      </w: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 w:cs="Times New Roman"/>
          <w:b/>
          <w:bCs/>
          <w:kern w:val="2"/>
          <w:sz w:val="32"/>
          <w:szCs w:val="24"/>
          <w:lang w:val="en-US" w:eastAsia="zh-CN" w:bidi="ar-SA"/>
        </w:rPr>
      </w:pPr>
      <w:r>
        <w:rPr>
          <w:rFonts w:hint="default" w:ascii="Times New Roman" w:hAnsi="Times New Roman" w:eastAsia="仿宋" w:cs="Times New Roman"/>
          <w:b/>
          <w:bCs/>
          <w:kern w:val="2"/>
          <w:sz w:val="32"/>
          <w:szCs w:val="24"/>
          <w:lang w:val="en-US" w:eastAsia="zh-CN" w:bidi="ar-SA"/>
        </w:rPr>
        <w:t>（一）范围、规范性引用文件、术语和定义</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default" w:ascii="Times New Roman" w:hAnsi="Times New Roman" w:eastAsia="仿宋" w:cs="Times New Roman"/>
          <w:b w:val="0"/>
          <w:bCs w:val="0"/>
          <w:kern w:val="2"/>
          <w:sz w:val="32"/>
          <w:szCs w:val="32"/>
          <w:lang w:val="en-US" w:eastAsia="zh-CN" w:bidi="ar-SA"/>
        </w:rPr>
        <w:t>标准编写的固有章节，列出本标准的适用范围，规范性引用和参考多项国家和地方标准。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（二）种子要求</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种子发芽率及净度是种子处理根本，因此选用的小麦品种需为适宜本地种植的品种，种子质量应符合国家有关规定。</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种子处理要点</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本章节为整个技术规程核心与重点部分，主要包括种子处理时间、种子处理药剂选择、种子处理要求。</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种子处理时间为小麦播种前进行药剂处理时的时间，本技术规程中规定为播种前的1~3 d前进行拌种或包衣，主要是要求种植户养成种子处理后即播种的习惯，因此种子处理时水分加入可能引起种子发芽，避免处理后长期不播种而造成发芽率降低。</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种子处理药剂选择主要包括防治病虫害的药剂选择、不同麦区最优剂量推荐及生长调节剂选择。本章节中包含的药剂种类及用量，主要信息来源为中国农药信息网已获得国家农药登记证产品或相关文献资料等。虽然小</w:t>
      </w:r>
      <w:r>
        <w:rPr>
          <w:rFonts w:ascii="Times New Roman" w:hAnsi="Times New Roman" w:eastAsia="仿宋" w:cs="Times New Roman"/>
          <w:b w:val="0"/>
          <w:bCs w:val="0"/>
          <w:kern w:val="2"/>
          <w:sz w:val="32"/>
          <w:szCs w:val="32"/>
          <w:lang w:val="en-US" w:eastAsia="zh-CN" w:bidi="ar-SA"/>
        </w:rPr>
        <w:t>麦种子处理技术</w:t>
      </w:r>
      <w:r>
        <w:rPr>
          <w:rFonts w:hint="eastAsia" w:ascii="Times New Roman" w:hAnsi="Times New Roman" w:eastAsia="仿宋" w:cs="Times New Roman"/>
          <w:b w:val="0"/>
          <w:bCs w:val="0"/>
          <w:kern w:val="2"/>
          <w:sz w:val="32"/>
          <w:szCs w:val="32"/>
          <w:lang w:val="en-US" w:eastAsia="zh-CN" w:bidi="ar-SA"/>
        </w:rPr>
        <w:t>虽</w:t>
      </w:r>
      <w:r>
        <w:rPr>
          <w:rFonts w:ascii="Times New Roman" w:hAnsi="Times New Roman" w:eastAsia="仿宋" w:cs="Times New Roman"/>
          <w:b w:val="0"/>
          <w:bCs w:val="0"/>
          <w:kern w:val="2"/>
          <w:sz w:val="32"/>
          <w:szCs w:val="32"/>
          <w:lang w:val="en-US" w:eastAsia="zh-CN" w:bidi="ar-SA"/>
        </w:rPr>
        <w:t>日趋成熟，但市场上相关产品种类繁多，药剂组合或者使用方法复杂，目前已在小麦上获得登记的种子处理剂品种超过400种，</w:t>
      </w:r>
      <w:r>
        <w:rPr>
          <w:rFonts w:hint="eastAsia" w:ascii="Times New Roman" w:hAnsi="Times New Roman" w:eastAsia="仿宋" w:cs="Times New Roman"/>
          <w:b w:val="0"/>
          <w:bCs w:val="0"/>
          <w:kern w:val="2"/>
          <w:sz w:val="32"/>
          <w:szCs w:val="32"/>
          <w:lang w:val="en-US" w:eastAsia="zh-CN" w:bidi="ar-SA"/>
        </w:rPr>
        <w:t>而有效成分仅几十种，</w:t>
      </w:r>
      <w:r>
        <w:rPr>
          <w:rFonts w:ascii="Times New Roman" w:hAnsi="Times New Roman" w:eastAsia="仿宋" w:cs="Times New Roman"/>
          <w:b w:val="0"/>
          <w:bCs w:val="0"/>
          <w:kern w:val="2"/>
          <w:sz w:val="32"/>
          <w:szCs w:val="32"/>
          <w:lang w:val="en-US" w:eastAsia="zh-CN" w:bidi="ar-SA"/>
        </w:rPr>
        <w:t>主要防治对象为蚜虫、金针虫、蛴螬等地下害虫、根腐病、黑穗病、纹枯病、全蚀病、白粉病，同时还有生长调节剂品种。</w:t>
      </w:r>
      <w:r>
        <w:rPr>
          <w:rFonts w:hint="eastAsia" w:ascii="Times New Roman" w:hAnsi="Times New Roman" w:eastAsia="仿宋" w:cs="Times New Roman"/>
          <w:b w:val="0"/>
          <w:bCs w:val="0"/>
          <w:kern w:val="2"/>
          <w:sz w:val="32"/>
          <w:szCs w:val="32"/>
          <w:lang w:val="en-US" w:eastAsia="zh-CN" w:bidi="ar-SA"/>
        </w:rPr>
        <w:t>本章节</w:t>
      </w:r>
      <w:r>
        <w:rPr>
          <w:rFonts w:ascii="Times New Roman" w:hAnsi="Times New Roman" w:eastAsia="仿宋" w:cs="Times New Roman"/>
          <w:b w:val="0"/>
          <w:bCs w:val="0"/>
          <w:kern w:val="2"/>
          <w:sz w:val="32"/>
          <w:szCs w:val="32"/>
          <w:lang w:val="en-US" w:eastAsia="zh-CN" w:bidi="ar-SA"/>
        </w:rPr>
        <w:t>通过将目前已登记的441个产品进行分门归类，提取相同防治对象和有效成分，</w:t>
      </w:r>
      <w:r>
        <w:rPr>
          <w:rFonts w:hint="eastAsia" w:ascii="Times New Roman" w:hAnsi="Times New Roman" w:eastAsia="仿宋" w:cs="Times New Roman"/>
          <w:b w:val="0"/>
          <w:bCs w:val="0"/>
          <w:kern w:val="2"/>
          <w:sz w:val="32"/>
          <w:szCs w:val="32"/>
          <w:lang w:val="en-US" w:eastAsia="zh-CN" w:bidi="ar-SA"/>
        </w:rPr>
        <w:t>对于未有产品登记但可通过种子处理方式进行控制的病害如小麦茎基腐病，通过文献查找及田间试验获得具体数据，收集江苏省不同麦区历年病虫害发生数据明确发生特点，给予推荐不同麦区最优的药剂用量。</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处理要求是对拌种或包衣过程中操作的进行约束，主要包括种子处理的总体要求、药种比及拌种（包衣）方式。其中技术指标为选择最适药种比，本技术规程中提出的拌种（包衣）药种比例为1:40~60是团队经过多次试验得到结果，按照此比例进行拌种（包衣），处理过程中药剂不流失，药剂在小麦种子上附着均匀。</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注意事项</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本章节中主要包括安全防护要求、安全用药要求及中后期病虫害管理。种子处理过程中农药安全使用、安全操作及个人防护按NT/T 1276-2007规定执行，如若地区日均气温低于0℃且有晚播习惯的因避免使用含有戊唑醇的药剂进行拌种（包衣），中后期病虫害防治按照NY/T 3302-2018规定执行。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 w:cs="Times New Roman"/>
          <w:b/>
          <w:bCs/>
          <w:kern w:val="2"/>
          <w:sz w:val="32"/>
          <w:szCs w:val="24"/>
          <w:lang w:val="en-US" w:eastAsia="zh-CN" w:bidi="ar-SA"/>
        </w:rPr>
      </w:pPr>
      <w:r>
        <w:rPr>
          <w:rFonts w:hint="eastAsia" w:ascii="Times New Roman" w:hAnsi="Times New Roman" w:eastAsia="仿宋" w:cs="Times New Roman"/>
          <w:b/>
          <w:bCs/>
          <w:kern w:val="2"/>
          <w:sz w:val="32"/>
          <w:szCs w:val="24"/>
          <w:lang w:val="en-US" w:eastAsia="zh-CN" w:bidi="ar-SA"/>
        </w:rPr>
        <w:t>档案管理</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做好种子药剂处理过程记录，归档管理，记录保留两年以上，后期如若出现问题可有迹可循。</w:t>
      </w:r>
    </w:p>
    <w:p>
      <w:pPr>
        <w:keepNext w:val="0"/>
        <w:keepLines w:val="0"/>
        <w:pageBreakBefore w:val="0"/>
        <w:widowControl w:val="0"/>
        <w:kinsoku/>
        <w:wordWrap/>
        <w:overflowPunct/>
        <w:topLinePunct w:val="0"/>
        <w:bidi w:val="0"/>
        <w:snapToGrid/>
        <w:spacing w:line="240" w:lineRule="auto"/>
        <w:textAlignment w:val="auto"/>
        <w:rPr>
          <w:rFonts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、与现行法律、法规、文件和标准相关情况的说明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本标准编写格式依据GB/T 1.1-2020《标准化工作导则 第1部分：标准化文件的结构和起草规则》给出的规则编写。本技术规程是在本团队制定的镇江市地方标准《种子处理防治小麦病虫害技术规程》</w:t>
      </w:r>
      <w:r>
        <w:rPr>
          <w:rFonts w:hint="eastAsia" w:ascii="Times New Roman" w:hAnsi="Times New Roman" w:eastAsia="仿宋" w:cs="Times New Roman"/>
          <w:b w:val="0"/>
          <w:bCs w:val="0"/>
          <w:kern w:val="2"/>
          <w:sz w:val="32"/>
          <w:szCs w:val="32"/>
          <w:lang w:val="en-US" w:eastAsia="zh-CN" w:bidi="ar-SA"/>
        </w:rPr>
        <w:t>DB 3211/T 1038-2022上进一步演化而来，本技术规程是立足于江苏省不同区域性病虫害发生特点，针对性提出适用于不同麦区的小麦种子处理技术规程，防治的病虫害更多、推荐的药剂种类更全面，适用性更强。</w:t>
      </w:r>
    </w:p>
    <w:p>
      <w:pPr>
        <w:pStyle w:val="2"/>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六、重大分歧意见的处理过程和依据</w:t>
      </w:r>
    </w:p>
    <w:p>
      <w:pPr>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无重大分歧意见</w:t>
      </w:r>
    </w:p>
    <w:p>
      <w:pPr>
        <w:keepNext w:val="0"/>
        <w:keepLines w:val="0"/>
        <w:pageBreakBefore w:val="0"/>
        <w:widowControl w:val="0"/>
        <w:numPr>
          <w:numId w:val="0"/>
        </w:numPr>
        <w:kinsoku/>
        <w:wordWrap/>
        <w:overflowPunct/>
        <w:topLinePunct w:val="0"/>
        <w:bidi w:val="0"/>
        <w:snapToGrid/>
        <w:spacing w:line="240" w:lineRule="auto"/>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七、标准宣贯实施的建议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标准的实施及宣贯是一项长期的工作，根据该技术特性及应用价值，本团队制定了如下实施和宣贯计划：</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1）专人负责技术规程的实施和宣贯工作。技术规程主要起草人负责整个标准的宣传讲解工作，通过开展培训会的方式宣传贯彻标准内容和技术要领，组建全省区域内小麦种植户微信群，一线宣传和推广技术，同时也可结合当地媒体等对该技术规程进行实施和宣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2）依托省级小麦产业技术体系进行标准实施和宣贯。近年来，本团队对江苏省（镇江）现代农业（稻麦）综合科技示范基地建设，为省级稻麦产业技术体系中的重要一部分，因此本标准将结合基地项目建设进行的实施，同时将对接联系省级小麦体系岗位相关专家进行标准培训和现场观摩活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仿宋" w:cs="Times New Roman"/>
          <w:b w:val="0"/>
          <w:bCs w:val="0"/>
          <w:kern w:val="2"/>
          <w:sz w:val="32"/>
          <w:szCs w:val="32"/>
          <w:lang w:val="en-US" w:eastAsia="zh-CN" w:bidi="ar-SA"/>
        </w:rPr>
        <w:t>（3）本标准将联合江苏省植保植检站联合申报并进行实施推广。作为</w:t>
      </w:r>
      <w:bookmarkStart w:id="0" w:name="_GoBack"/>
      <w:bookmarkEnd w:id="0"/>
      <w:r>
        <w:rPr>
          <w:rFonts w:hint="eastAsia" w:ascii="Times New Roman" w:hAnsi="Times New Roman" w:eastAsia="仿宋" w:cs="Times New Roman"/>
          <w:b w:val="0"/>
          <w:bCs w:val="0"/>
          <w:kern w:val="2"/>
          <w:sz w:val="32"/>
          <w:szCs w:val="32"/>
          <w:lang w:val="en-US" w:eastAsia="zh-CN" w:bidi="ar-SA"/>
        </w:rPr>
        <w:t>本标准的参加单位，江苏省植保植检站将共同承担标准的实施和宣贯工作，同时结合省级植保站系统平台，将该标准在江苏省不同区域内示范推广。</w:t>
      </w:r>
    </w:p>
    <w:p>
      <w:pPr>
        <w:keepNext w:val="0"/>
        <w:keepLines w:val="0"/>
        <w:pageBreakBefore w:val="0"/>
        <w:widowControl w:val="0"/>
        <w:kinsoku/>
        <w:wordWrap/>
        <w:overflowPunct/>
        <w:topLinePunct w:val="0"/>
        <w:bidi w:val="0"/>
        <w:snapToGrid/>
        <w:spacing w:line="240" w:lineRule="auto"/>
        <w:textAlignment w:val="auto"/>
      </w:pPr>
    </w:p>
    <w:p>
      <w:pPr>
        <w:keepNext w:val="0"/>
        <w:keepLines w:val="0"/>
        <w:pageBreakBefore w:val="0"/>
        <w:widowControl w:val="0"/>
        <w:kinsoku/>
        <w:wordWrap/>
        <w:overflowPunct/>
        <w:topLinePunct w:val="0"/>
        <w:bidi w:val="0"/>
        <w:snapToGrid/>
        <w:spacing w:line="240" w:lineRule="auto"/>
        <w:textAlignment w:val="auto"/>
      </w:pPr>
    </w:p>
    <w:p>
      <w:pPr>
        <w:keepNext w:val="0"/>
        <w:keepLines w:val="0"/>
        <w:pageBreakBefore w:val="0"/>
        <w:widowControl w:val="0"/>
        <w:kinsoku/>
        <w:wordWrap/>
        <w:overflowPunct/>
        <w:topLinePunct w:val="0"/>
        <w:bidi w:val="0"/>
        <w:snapToGrid/>
        <w:spacing w:line="240" w:lineRule="auto"/>
        <w:textAlignment w:val="auto"/>
      </w:pPr>
    </w:p>
    <w:p>
      <w:pPr>
        <w:keepNext w:val="0"/>
        <w:keepLines w:val="0"/>
        <w:pageBreakBefore w:val="0"/>
        <w:widowControl w:val="0"/>
        <w:kinsoku/>
        <w:wordWrap/>
        <w:overflowPunct/>
        <w:topLinePunct w:val="0"/>
        <w:bidi w:val="0"/>
        <w:snapToGrid/>
        <w:spacing w:line="240" w:lineRule="auto"/>
        <w:textAlignment w:val="auto"/>
        <w:rPr>
          <w:rFonts w:hint="eastAsia" w:ascii="黑体" w:hAnsi="黑体" w:eastAsia="黑体" w:cs="黑体"/>
          <w:b w:val="0"/>
          <w:bCs w:val="0"/>
          <w:kern w:val="2"/>
          <w:sz w:val="32"/>
          <w:szCs w:val="32"/>
          <w:lang w:val="en-US" w:eastAsia="zh-CN" w:bidi="ar-SA"/>
        </w:rPr>
      </w:pPr>
    </w:p>
    <w:p>
      <w:pPr>
        <w:pStyle w:val="2"/>
        <w:keepNext w:val="0"/>
        <w:keepLines w:val="0"/>
        <w:pageBreakBefore w:val="0"/>
        <w:widowControl w:val="0"/>
        <w:kinsoku/>
        <w:wordWrap/>
        <w:overflowPunct/>
        <w:topLinePunct w:val="0"/>
        <w:bidi w:val="0"/>
        <w:snapToGrid/>
        <w:spacing w:line="240" w:lineRule="auto"/>
        <w:jc w:val="righ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《小麦种子处理技术规程》</w:t>
      </w:r>
    </w:p>
    <w:p>
      <w:pPr>
        <w:pStyle w:val="2"/>
        <w:keepNext w:val="0"/>
        <w:keepLines w:val="0"/>
        <w:pageBreakBefore w:val="0"/>
        <w:widowControl w:val="0"/>
        <w:kinsoku/>
        <w:wordWrap/>
        <w:overflowPunct/>
        <w:topLinePunct w:val="0"/>
        <w:bidi w:val="0"/>
        <w:snapToGrid/>
        <w:spacing w:line="240" w:lineRule="auto"/>
        <w:jc w:val="righ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标准编制组</w:t>
      </w:r>
    </w:p>
    <w:p>
      <w:pPr>
        <w:pStyle w:val="2"/>
        <w:keepNext w:val="0"/>
        <w:keepLines w:val="0"/>
        <w:pageBreakBefore w:val="0"/>
        <w:widowControl w:val="0"/>
        <w:kinsoku/>
        <w:wordWrap/>
        <w:overflowPunct/>
        <w:topLinePunct w:val="0"/>
        <w:bidi w:val="0"/>
        <w:snapToGrid/>
        <w:spacing w:line="240" w:lineRule="auto"/>
        <w:jc w:val="righ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2024年3月15日</w:t>
      </w:r>
    </w:p>
    <w:p>
      <w:pPr>
        <w:keepNext w:val="0"/>
        <w:keepLines w:val="0"/>
        <w:pageBreakBefore w:val="0"/>
        <w:widowControl w:val="0"/>
        <w:tabs>
          <w:tab w:val="left" w:pos="6537"/>
        </w:tabs>
        <w:kinsoku/>
        <w:wordWrap/>
        <w:overflowPunct/>
        <w:topLinePunct w:val="0"/>
        <w:bidi w:val="0"/>
        <w:snapToGrid/>
        <w:spacing w:line="240" w:lineRule="auto"/>
        <w:jc w:val="left"/>
        <w:textAlignment w:val="auto"/>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0016" w:usb3="00000000" w:csb0="00040001" w:csb1="00000000"/>
  </w:font>
  <w:font w:name="方正仿宋简体">
    <w:altName w:val="微软雅黑"/>
    <w:panose1 w:val="02000000000000000000"/>
    <w:charset w:val="86"/>
    <w:family w:val="script"/>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2</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4DADFD"/>
    <w:multiLevelType w:val="singleLevel"/>
    <w:tmpl w:val="6F4DADFD"/>
    <w:lvl w:ilvl="0" w:tentative="0">
      <w:start w:val="1"/>
      <w:numFmt w:val="decimal"/>
      <w:suff w:val="nothing"/>
      <w:lvlText w:val="%1）"/>
      <w:lvlJc w:val="left"/>
    </w:lvl>
  </w:abstractNum>
  <w:abstractNum w:abstractNumId="1">
    <w:nsid w:val="7E848F25"/>
    <w:multiLevelType w:val="singleLevel"/>
    <w:tmpl w:val="7E848F25"/>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k4ZGMzMjIyNjExYjJlODMzNzljOWY5YjMzMjRmNTUifQ=="/>
  </w:docVars>
  <w:rsids>
    <w:rsidRoot w:val="00960EAC"/>
    <w:rsid w:val="00010EA5"/>
    <w:rsid w:val="00201F00"/>
    <w:rsid w:val="00260408"/>
    <w:rsid w:val="00370384"/>
    <w:rsid w:val="003C7E94"/>
    <w:rsid w:val="0045415B"/>
    <w:rsid w:val="006541BB"/>
    <w:rsid w:val="008C69A8"/>
    <w:rsid w:val="00940010"/>
    <w:rsid w:val="00960EAC"/>
    <w:rsid w:val="00A5290B"/>
    <w:rsid w:val="00AC1169"/>
    <w:rsid w:val="00AD0E26"/>
    <w:rsid w:val="00AE0553"/>
    <w:rsid w:val="00B032E5"/>
    <w:rsid w:val="00BC6B6F"/>
    <w:rsid w:val="00C75E93"/>
    <w:rsid w:val="00D77F8F"/>
    <w:rsid w:val="00F64ECA"/>
    <w:rsid w:val="016303EB"/>
    <w:rsid w:val="06276955"/>
    <w:rsid w:val="079C051D"/>
    <w:rsid w:val="09104CEE"/>
    <w:rsid w:val="0C0149DC"/>
    <w:rsid w:val="119F5B94"/>
    <w:rsid w:val="19870621"/>
    <w:rsid w:val="1CBD7271"/>
    <w:rsid w:val="22F720F2"/>
    <w:rsid w:val="2C411891"/>
    <w:rsid w:val="2DDB69E3"/>
    <w:rsid w:val="2FD8430B"/>
    <w:rsid w:val="400C5122"/>
    <w:rsid w:val="40E146BC"/>
    <w:rsid w:val="470C1B12"/>
    <w:rsid w:val="495A3FA5"/>
    <w:rsid w:val="4D465D1C"/>
    <w:rsid w:val="504E2EFB"/>
    <w:rsid w:val="5F8716EE"/>
    <w:rsid w:val="69EA3D32"/>
    <w:rsid w:val="6F174C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pPr>
      <w:ind w:left="492"/>
    </w:pPr>
    <w:rPr>
      <w:rFonts w:ascii="微软雅黑" w:hAnsi="微软雅黑" w:eastAsia="微软雅黑" w:cs="微软雅黑"/>
      <w:b/>
      <w:bCs/>
      <w:sz w:val="32"/>
      <w:szCs w:val="32"/>
      <w:lang w:val="zh-CN" w:bidi="zh-CN"/>
    </w:rPr>
  </w:style>
  <w:style w:type="paragraph" w:styleId="3">
    <w:name w:val="Plain Text"/>
    <w:basedOn w:val="1"/>
    <w:uiPriority w:val="0"/>
    <w:rPr>
      <w:rFonts w:ascii="宋体" w:hAnsi="Courier New" w:cs="Courier New"/>
      <w:szCs w:val="21"/>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Char Char Char1 Char"/>
    <w:basedOn w:val="1"/>
    <w:autoRedefine/>
    <w:qFormat/>
    <w:uiPriority w:val="0"/>
    <w:pPr>
      <w:widowControl/>
      <w:spacing w:after="160" w:line="240" w:lineRule="exact"/>
      <w:jc w:val="left"/>
    </w:pPr>
    <w:rPr>
      <w:rFonts w:ascii="Verdana" w:hAnsi="Verdana" w:eastAsia="宋体" w:cs="Times New Roman"/>
      <w:kern w:val="0"/>
      <w:sz w:val="18"/>
      <w:szCs w:val="20"/>
      <w:lang w:eastAsia="en-US"/>
    </w:rPr>
  </w:style>
  <w:style w:type="paragraph" w:customStyle="1" w:styleId="11">
    <w:name w:val="_Style 6"/>
    <w:basedOn w:val="1"/>
    <w:autoRedefine/>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12">
    <w:name w:val="页眉 Char"/>
    <w:basedOn w:val="9"/>
    <w:link w:val="5"/>
    <w:autoRedefine/>
    <w:qFormat/>
    <w:uiPriority w:val="99"/>
    <w:rPr>
      <w:sz w:val="18"/>
      <w:szCs w:val="18"/>
    </w:rPr>
  </w:style>
  <w:style w:type="character" w:customStyle="1" w:styleId="13">
    <w:name w:val="页脚 Char"/>
    <w:basedOn w:val="9"/>
    <w:link w:val="4"/>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3268</Words>
  <Characters>186</Characters>
  <Lines>1</Lines>
  <Paragraphs>6</Paragraphs>
  <TotalTime>11</TotalTime>
  <ScaleCrop>false</ScaleCrop>
  <LinksUpToDate>false</LinksUpToDate>
  <CharactersWithSpaces>3448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2018-01-03T07:55:00Z</dcterms:created>
  <dc:creator>q</dc:creator>
  <cp:lastModifiedBy>龙虾</cp:lastModifiedBy>
  <cp:lastPrinted>2022-04-07T06:15:00Z</cp:lastPrinted>
  <dcterms:modified xsi:type="dcterms:W3CDTF">2024-04-16T07:55:02Z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19825F3E1DB34BDE803D8894210ED627</vt:lpwstr>
  </property>
</Properties>
</file>